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val="0"/>
          <w:bCs w:val="0"/>
          <w:color w:val="auto"/>
          <w:kern w:val="0"/>
          <w:sz w:val="36"/>
          <w:szCs w:val="36"/>
          <w:highlight w:val="none"/>
        </w:rPr>
      </w:pPr>
      <w:r>
        <w:rPr>
          <w:rFonts w:hint="eastAsia" w:ascii="黑体" w:hAnsi="黑体" w:eastAsia="黑体" w:cs="宋体"/>
          <w:b w:val="0"/>
          <w:bCs w:val="0"/>
          <w:color w:val="auto"/>
          <w:kern w:val="0"/>
          <w:sz w:val="32"/>
          <w:szCs w:val="32"/>
          <w:highlight w:val="none"/>
        </w:rPr>
        <w:t>附件</w:t>
      </w:r>
      <w:r>
        <w:rPr>
          <w:rFonts w:hint="eastAsia" w:ascii="黑体" w:hAnsi="黑体" w:eastAsia="黑体" w:cs="宋体"/>
          <w:b w:val="0"/>
          <w:bCs w:val="0"/>
          <w:color w:val="auto"/>
          <w:kern w:val="0"/>
          <w:sz w:val="32"/>
          <w:szCs w:val="32"/>
          <w:highlight w:val="none"/>
          <w:lang w:val="en-US" w:eastAsia="zh-CN"/>
        </w:rPr>
        <w:t>3</w:t>
      </w:r>
      <w:r>
        <w:rPr>
          <w:rFonts w:hint="eastAsia" w:ascii="黑体" w:hAnsi="黑体" w:eastAsia="黑体" w:cs="宋体"/>
          <w:b w:val="0"/>
          <w:bCs w:val="0"/>
          <w:color w:val="auto"/>
          <w:kern w:val="0"/>
          <w:sz w:val="32"/>
          <w:szCs w:val="32"/>
          <w:highlight w:val="none"/>
        </w:rPr>
        <w:t xml:space="preserve"> </w:t>
      </w:r>
    </w:p>
    <w:p>
      <w:pPr>
        <w:keepNext w:val="0"/>
        <w:keepLines w:val="0"/>
        <w:widowControl/>
        <w:suppressLineNumbers w:val="0"/>
        <w:spacing w:line="240" w:lineRule="auto"/>
        <w:ind w:firstLine="0"/>
        <w:jc w:val="center"/>
        <w:rPr>
          <w:rFonts w:hint="eastAsia" w:ascii="方正小标宋简体" w:hAnsi="方正小标宋简体" w:eastAsia="方正小标宋简体" w:cs="方正小标宋简体"/>
          <w:b w:val="0"/>
          <w:bCs w:val="0"/>
          <w:sz w:val="44"/>
          <w:szCs w:val="44"/>
          <w:highlight w:val="none"/>
          <w:u w:val="none"/>
          <w:lang w:val="en-US" w:eastAsia="zh-Hans"/>
        </w:rPr>
      </w:pPr>
      <w:r>
        <w:rPr>
          <w:rFonts w:hint="eastAsia" w:ascii="方正小标宋简体" w:hAnsi="方正小标宋简体" w:eastAsia="方正小标宋简体" w:cs="方正小标宋简体"/>
          <w:b w:val="0"/>
          <w:bCs w:val="0"/>
          <w:sz w:val="44"/>
          <w:szCs w:val="44"/>
          <w:highlight w:val="none"/>
          <w:u w:val="none"/>
          <w:lang w:val="en-US" w:eastAsia="zh-CN"/>
        </w:rPr>
        <w:t>首届</w:t>
      </w:r>
      <w:r>
        <w:rPr>
          <w:rFonts w:hint="eastAsia" w:ascii="方正小标宋简体" w:hAnsi="方正小标宋简体" w:eastAsia="方正小标宋简体" w:cs="方正小标宋简体"/>
          <w:b w:val="0"/>
          <w:bCs w:val="0"/>
          <w:sz w:val="44"/>
          <w:szCs w:val="44"/>
          <w:highlight w:val="none"/>
          <w:u w:val="none"/>
          <w:lang w:val="en-US" w:eastAsia="zh-Hans"/>
        </w:rPr>
        <w:t>川渝预制</w:t>
      </w:r>
      <w:r>
        <w:rPr>
          <w:rFonts w:hint="eastAsia" w:ascii="方正小标宋简体" w:hAnsi="方正小标宋简体" w:eastAsia="方正小标宋简体" w:cs="方正小标宋简体"/>
          <w:b w:val="0"/>
          <w:bCs w:val="0"/>
          <w:sz w:val="44"/>
          <w:szCs w:val="44"/>
          <w:highlight w:val="none"/>
          <w:u w:val="none"/>
          <w:lang w:val="en-US" w:eastAsia="zh-CN"/>
        </w:rPr>
        <w:t>川</w:t>
      </w:r>
      <w:r>
        <w:rPr>
          <w:rFonts w:hint="eastAsia" w:ascii="方正小标宋简体" w:hAnsi="方正小标宋简体" w:eastAsia="方正小标宋简体" w:cs="方正小标宋简体"/>
          <w:b w:val="0"/>
          <w:bCs w:val="0"/>
          <w:sz w:val="44"/>
          <w:szCs w:val="44"/>
          <w:highlight w:val="none"/>
          <w:u w:val="none"/>
          <w:lang w:val="en-US" w:eastAsia="zh-Hans"/>
        </w:rPr>
        <w:t>菜创新创意大赛技术文件</w:t>
      </w:r>
    </w:p>
    <w:p>
      <w:pPr>
        <w:pStyle w:val="2"/>
        <w:rPr>
          <w:rFonts w:hint="eastAsia"/>
          <w:lang w:val="en-US" w:eastAsia="zh-Hans"/>
        </w:rPr>
      </w:pP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川渝</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预制川菜创新创意大赛分为资料审查和产品呈现两个环节，参赛选手以团队形式参赛。</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一、竞赛内容</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（一）资料路演</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为产品资料评审，采取线上及线下评审方式相结合。根据各参赛队提交的产品实物、报名表及相关佐证材料，组织专家进行评审。</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（二）产品呈现</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即：预制菜产品现场复原加工</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参赛项目所在团队指派</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名选手在现场加工操作区对预制菜产品（由官方提前封存）完成现场即食加工，每款产品现场加工时间不得超过</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30</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分钟。（如确需增加时间的，须提前向组委会申请）</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二、竞赛要求</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（一）作品要求</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以产品为单位申报，各制作团队申报不超过</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款参赛产品。产品主食材应为川渝本地食材，限预制菜即烹类、即热类、即配类。即热类产品参赛，单款产品不足</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00克的，可增加份数。</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即烹预制菜定义：以畜禽、水产、果蔬等农产品和食品原辅料配以或不配以调味料后并进行预包装，可在冷链或常温环境进行贮存、运输及销售，</w:t>
      </w:r>
      <w:bookmarkStart w:id="0" w:name="_GoBack"/>
      <w:bookmarkEnd w:id="0"/>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可直接进入烹饪操作的预制食品。</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即热预制菜定义：以畜禽、水产、果蔬、粮食等一种或多种农产品和食品原辅料配以或不配以调味料加工而成，并进行杀菌、烹饪等加工，可在冷藏或冷冻环境进行贮存、运输及销售的经解冻、拼配、调味、加热即可食用的预制食品。</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即配预制菜定义：</w:t>
      </w:r>
      <w:r>
        <w:rPr>
          <w:rFonts w:hint="eastAsia" w:ascii="仿宋_GB2312" w:hAnsi="仿宋_GB2312" w:eastAsia="仿宋_GB2312" w:cs="仿宋_GB2312"/>
          <w:b w:val="0"/>
          <w:bCs w:val="0"/>
          <w:i w:val="0"/>
          <w:iCs w:val="0"/>
          <w:caps w:val="0"/>
          <w:color w:val="000000" w:themeColor="text1"/>
          <w:spacing w:val="0"/>
          <w:kern w:val="2"/>
          <w:sz w:val="32"/>
          <w:szCs w:val="32"/>
          <w:u w:val="none"/>
          <w:shd w:val="clear"/>
          <w:lang w:val="en-US" w:eastAsia="zh-Hans" w:bidi="ar"/>
          <w14:textFill>
            <w14:solidFill>
              <w14:schemeClr w14:val="tx1"/>
            </w14:solidFill>
          </w14:textFill>
        </w:rPr>
        <w:t>是指将原材料初加工后洗切干净、</w:t>
      </w:r>
      <w:r>
        <w:rPr>
          <w:rFonts w:hint="eastAsia" w:ascii="仿宋_GB2312" w:hAnsi="仿宋_GB2312" w:eastAsia="仿宋_GB2312" w:cs="仿宋_GB2312"/>
          <w:b w:val="0"/>
          <w:bCs w:val="0"/>
          <w:i w:val="0"/>
          <w:iCs w:val="0"/>
          <w:caps w:val="0"/>
          <w:color w:val="000000" w:themeColor="text1"/>
          <w:spacing w:val="0"/>
          <w:kern w:val="2"/>
          <w:sz w:val="32"/>
          <w:szCs w:val="32"/>
          <w:u w:val="none"/>
          <w:shd w:val="clear"/>
          <w:lang w:val="en-US" w:eastAsia="zh-CN" w:bidi="ar"/>
          <w14:textFill>
            <w14:solidFill>
              <w14:schemeClr w14:val="tx1"/>
            </w14:solidFill>
          </w14:textFill>
        </w:rPr>
        <w:t>配好即可食用的预制菜食品</w:t>
      </w:r>
      <w:r>
        <w:rPr>
          <w:rFonts w:hint="eastAsia" w:ascii="仿宋_GB2312" w:hAnsi="仿宋_GB2312" w:eastAsia="仿宋_GB2312" w:cs="仿宋_GB2312"/>
          <w:b w:val="0"/>
          <w:bCs w:val="0"/>
          <w:i w:val="0"/>
          <w:iCs w:val="0"/>
          <w:caps w:val="0"/>
          <w:color w:val="000000" w:themeColor="text1"/>
          <w:spacing w:val="0"/>
          <w:kern w:val="2"/>
          <w:sz w:val="32"/>
          <w:szCs w:val="32"/>
          <w:u w:val="none"/>
          <w:shd w:val="clear"/>
          <w:lang w:val="en-US" w:eastAsia="zh-Hans" w:bidi="ar"/>
          <w14:textFill>
            <w14:solidFill>
              <w14:schemeClr w14:val="tx1"/>
            </w14:solidFill>
          </w14:textFill>
        </w:rPr>
        <w:t>。</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（二）安全要求</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1.严禁使用有毒、有害食材、严禁使用对人体造成伤害的调味料，不使用国家明令保护的动植物原料，不乱用添加剂。一经发现，取消竞赛资格。</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2.产品除使用正常餐具装盘外，禁止点缀盘饰，自带装盘器皿直径不得超过60 公分，即热菜品禁止额外添加调味，出现此行为取消比赛成绩；产品所用原料需无毒无害，出现有毒有害原料的，取消比赛成绩。</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（三）报送要求</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所提交参赛产品应具有报名表及相关佐证材料，材料需简洁明了，并符合要求，能够充分表达方案的创意、思想和内容。</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三、竞赛规则</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（一）预制菜作品按规定时间寄送，并由组委会统一保存，用于复原和品评，现场复原加工所需特殊设备、装盘器皿由参赛单位自备。</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（二）各参赛队伍的参赛顺序由现场抽签结果决定。</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（三）参赛选手按规定时间到达指定地点，凭参赛证和身份证（两证必须齐全）进行检录后进入竞赛候场区，抽取比赛次序。检录时间开始</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0分钟内未到者，取消比赛资格。</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（四）各代表队领队和观摩人员在赛场指定区域观摩比赛。</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（五）各类赛务人员必须统一佩戴由大赛组委会办公室签发的相应证件，着装整齐。</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（六）比赛过程中，参赛选手须严格遵守比赛规则，保证自身安全，并接受评判员的监督和警示；若因设备故障导致选手中断或终止比赛，由大赛评审组根据竞赛规程中的预案视具体情况做出裁决。</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（七）选手最终成绩经评审组确认后公布。</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（八）参赛作品如涉嫌抄袭等不良行为，取消参赛队伍的参赛资格。</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四、参赛须知</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（一）参赛选手须知</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严格遵守大赛组委会制定的各项竞赛规则和技术要求。</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坚决服从大赛组委会的指挥和管理。</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尊重评委和赛场工作人员，自觉遵守赛场纪律和秩序，文明参赛。</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（二）参赛单位及领队须知</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熟悉竞赛规程，负责做好本参赛单位各参赛队伍大赛期间的管理工作。</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贯彻执行大赛各项规定，竞赛期间不私自接触评委。</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准时参加赛前会议，并认真传达落实会议精神，确保参赛队伍及队员准时参加各项比赛及活动。</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领队在比赛时需密切留意参赛队伍及队员的比赛时间，避免出现因迟到而被取消比赛资格的现象。</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对不符合竞赛规定的设备、资料、行为，有失公正的评判、奖励以及工作人员的违规行为等，均可提出申诉。申诉须在现场立即提出，否则不予受理。</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6</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领队应负责赛事活动期间本单位参赛队伍及队员的人身、财产安全，如发生意外事故，应及时向大赛组委会报告。</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五、突发事件应急处理预案</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竞赛过程中出现滑到、跌伤、扭伤及其他不可预测意外情况，由裁判长 根据现场情况组织处理。</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进入赛场</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熟悉各赛场“安全出口”及“疏散通道”。</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赛场内禁止使用明火，禁止在场地内及其他禁烟区域吸烟。</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易燃易爆物品禁止带入赛场。</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未经允许，勿操作各种开关。当使用的电器、电源插座等出现故障时，请与工作人员联系，应由专业人员进行维修。当需要连接临时电源线路或使用 大功率用电设备时，请与工作人员联系。</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不得挪动、损坏消防器材。发现安全隐患请及时通知工作人员。如 遇突发事件，请保持镇静，听从应急小组指挥。</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如遇火险请勿慌乱，从安全出口紧急撤离。</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如需撤离，请听从工作人员指挥，到指定紧急集合点集 合。</w:t>
      </w:r>
    </w:p>
    <w:p>
      <w:pPr>
        <w:keepNext w:val="0"/>
        <w:keepLines w:val="0"/>
        <w:widowControl/>
        <w:suppressLineNumbers w:val="0"/>
        <w:spacing w:line="360" w:lineRule="auto"/>
        <w:ind w:firstLine="56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遇有突发事件时启动应急程序。一切应急工作由大赛组委会应急小组进行处理。</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六、评判标准</w:t>
      </w:r>
    </w:p>
    <w:p>
      <w:pPr>
        <w:pStyle w:val="2"/>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pStyle w:val="2"/>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pStyle w:val="2"/>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pStyle w:val="2"/>
        <w:ind w:left="0" w:leftChars="0" w:firstLine="0" w:firstLineChars="0"/>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rPr>
          <w:rFonts w:hint="eastAsia"/>
          <w:lang w:val="en-US" w:eastAsia="zh-CN"/>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川渝预制</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川</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菜创新创意大赛</w:t>
      </w: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产品资料评审评审标准</w:t>
      </w:r>
    </w:p>
    <w:tbl>
      <w:tblPr>
        <w:tblStyle w:val="3"/>
        <w:tblW w:w="84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637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1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项目</w:t>
            </w:r>
          </w:p>
        </w:tc>
        <w:tc>
          <w:tcPr>
            <w:tcW w:w="6374" w:type="dxa"/>
            <w:tcBorders>
              <w:top w:val="single" w:color="000000" w:sz="4" w:space="0"/>
              <w:left w:val="nil"/>
              <w:bottom w:val="single" w:color="000000" w:sz="4" w:space="0"/>
              <w:right w:val="single" w:color="auto"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评审内容</w:t>
            </w:r>
          </w:p>
        </w:tc>
        <w:tc>
          <w:tcPr>
            <w:tcW w:w="914"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140" w:type="dxa"/>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产品属性</w:t>
            </w:r>
          </w:p>
          <w:p>
            <w:pPr>
              <w:autoSpaceDE w:val="0"/>
              <w:autoSpaceDN w:val="0"/>
              <w:adjustRightInd w:val="0"/>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（20分）</w:t>
            </w:r>
          </w:p>
        </w:tc>
        <w:tc>
          <w:tcPr>
            <w:tcW w:w="6374" w:type="dxa"/>
            <w:tcBorders>
              <w:top w:val="single" w:color="000000" w:sz="4" w:space="0"/>
              <w:left w:val="nil"/>
              <w:bottom w:val="single" w:color="auto" w:sz="4" w:space="0"/>
              <w:right w:val="single" w:color="auto" w:sz="4" w:space="0"/>
            </w:tcBorders>
            <w:vAlign w:val="center"/>
          </w:tcPr>
          <w:p>
            <w:pPr>
              <w:autoSpaceDE w:val="0"/>
              <w:autoSpaceDN w:val="0"/>
              <w:adjustRightInd w:val="0"/>
              <w:spacing w:line="360" w:lineRule="auto"/>
              <w:jc w:val="left"/>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满足预制菜即热类、即烹类产品的定义要求。具有创意创新。可以满足应用场景和使用对象的需求，产品具有稳定、方便、高效的属性。</w:t>
            </w:r>
          </w:p>
        </w:tc>
        <w:tc>
          <w:tcPr>
            <w:tcW w:w="914" w:type="dxa"/>
            <w:tcBorders>
              <w:top w:val="single" w:color="000000" w:sz="4" w:space="0"/>
              <w:left w:val="single" w:color="auto" w:sz="4" w:space="0"/>
              <w:right w:val="single" w:color="000000" w:sz="4" w:space="0"/>
            </w:tcBorders>
            <w:vAlign w:val="center"/>
          </w:tcPr>
          <w:p>
            <w:pPr>
              <w:autoSpaceDE w:val="0"/>
              <w:autoSpaceDN w:val="0"/>
              <w:adjustRightInd w:val="0"/>
              <w:spacing w:line="360" w:lineRule="auto"/>
              <w:jc w:val="cente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1140" w:type="dxa"/>
            <w:tcBorders>
              <w:left w:val="single" w:color="000000" w:sz="4" w:space="0"/>
              <w:bottom w:val="single" w:color="000000" w:sz="4" w:space="0"/>
              <w:right w:val="single" w:color="000000" w:sz="4" w:space="0"/>
            </w:tcBorders>
            <w:vAlign w:val="center"/>
          </w:tcPr>
          <w:p>
            <w:pPr>
              <w:spacing w:line="360" w:lineRule="auto"/>
              <w:jc w:val="cente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食品安全</w:t>
            </w:r>
          </w:p>
          <w:p>
            <w:pPr>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auto" w:sz="4" w:space="0"/>
              <w:left w:val="nil"/>
              <w:bottom w:val="single" w:color="000000" w:sz="4" w:space="0"/>
              <w:right w:val="single" w:color="auto" w:sz="4" w:space="0"/>
            </w:tcBorders>
            <w:vAlign w:val="center"/>
          </w:tcPr>
          <w:p>
            <w:pPr>
              <w:spacing w:line="360" w:lineRule="auto"/>
              <w:jc w:val="left"/>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原辅料、食品添加剂克数标注准确，符合对应国家或行业标准。食品添加剂的品种、使用量和使用范围应符合GB2760的相关要求。</w:t>
            </w:r>
          </w:p>
        </w:tc>
        <w:tc>
          <w:tcPr>
            <w:tcW w:w="914" w:type="dxa"/>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exact"/>
          <w:jc w:val="center"/>
        </w:trPr>
        <w:tc>
          <w:tcPr>
            <w:tcW w:w="1140" w:type="dxa"/>
            <w:tcBorders>
              <w:left w:val="single" w:color="000000" w:sz="4" w:space="0"/>
              <w:bottom w:val="single" w:color="000000" w:sz="4" w:space="0"/>
              <w:right w:val="single" w:color="000000" w:sz="4" w:space="0"/>
            </w:tcBorders>
            <w:vAlign w:val="center"/>
          </w:tcPr>
          <w:p>
            <w:pPr>
              <w:spacing w:line="360" w:lineRule="auto"/>
              <w:jc w:val="center"/>
              <w:textAlignment w:val="baseline"/>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营养价值</w:t>
            </w:r>
          </w:p>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auto" w:sz="4" w:space="0"/>
              <w:left w:val="nil"/>
              <w:bottom w:val="single" w:color="000000" w:sz="4" w:space="0"/>
              <w:right w:val="single" w:color="auto" w:sz="4" w:space="0"/>
            </w:tcBorders>
            <w:vAlign w:val="center"/>
          </w:tcPr>
          <w:p>
            <w:pPr>
              <w:spacing w:line="360" w:lineRule="auto"/>
              <w:jc w:val="left"/>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主辅料搭配和营养构成比例合理，满足营养学均衡膳食的要求。</w:t>
            </w:r>
          </w:p>
        </w:tc>
        <w:tc>
          <w:tcPr>
            <w:tcW w:w="914" w:type="dxa"/>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1140" w:type="dxa"/>
            <w:tcBorders>
              <w:left w:val="single" w:color="000000" w:sz="4" w:space="0"/>
              <w:bottom w:val="single" w:color="000000" w:sz="4" w:space="0"/>
              <w:right w:val="single" w:color="000000" w:sz="4" w:space="0"/>
            </w:tcBorders>
            <w:vAlign w:val="center"/>
          </w:tcPr>
          <w:p>
            <w:pPr>
              <w:spacing w:line="360" w:lineRule="auto"/>
              <w:jc w:val="center"/>
              <w:textAlignment w:val="baseline"/>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产品成本</w:t>
            </w:r>
          </w:p>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auto" w:sz="4" w:space="0"/>
              <w:left w:val="nil"/>
              <w:bottom w:val="single" w:color="000000" w:sz="4" w:space="0"/>
              <w:right w:val="single" w:color="auto" w:sz="4" w:space="0"/>
            </w:tcBorders>
            <w:vAlign w:val="center"/>
          </w:tcPr>
          <w:p>
            <w:pPr>
              <w:spacing w:line="360" w:lineRule="auto"/>
              <w:jc w:val="left"/>
              <w:textAlignment w:val="baseline"/>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产品市场价格设计合理，成本预测分析清晰详细，应包括原料、人工、渠道等，实际成本不超范畴。且为保障品质，原料成本至少占总成本50%以上。</w:t>
            </w:r>
          </w:p>
        </w:tc>
        <w:tc>
          <w:tcPr>
            <w:tcW w:w="914" w:type="dxa"/>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1140" w:type="dxa"/>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标准化</w:t>
            </w:r>
          </w:p>
          <w:p>
            <w:pPr>
              <w:autoSpaceDE w:val="0"/>
              <w:autoSpaceDN w:val="0"/>
              <w:adjustRightInd w:val="0"/>
              <w:spacing w:line="360" w:lineRule="auto"/>
              <w:jc w:val="center"/>
              <w:rPr>
                <w:rStyle w:val="5"/>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auto" w:sz="4" w:space="0"/>
              <w:left w:val="nil"/>
              <w:bottom w:val="single" w:color="000000" w:sz="4" w:space="0"/>
              <w:right w:val="single" w:color="auto" w:sz="4" w:space="0"/>
            </w:tcBorders>
            <w:vAlign w:val="center"/>
          </w:tcPr>
          <w:p>
            <w:pPr>
              <w:spacing w:line="360" w:lineRule="auto"/>
              <w:jc w:val="left"/>
              <w:textAlignment w:val="baseline"/>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产品的执行标准和标准操作（可重复性）达到可标准化程度，满足中央厨房、代加工工厂批量生产的基本要求，保存贮藏、冷链运输应用描述合理且实际。</w:t>
            </w:r>
          </w:p>
        </w:tc>
        <w:tc>
          <w:tcPr>
            <w:tcW w:w="914" w:type="dxa"/>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140" w:type="dxa"/>
            <w:tcBorders>
              <w:top w:val="single" w:color="auto" w:sz="4" w:space="0"/>
              <w:left w:val="single" w:color="000000" w:sz="4" w:space="0"/>
              <w:right w:val="single" w:color="000000" w:sz="4" w:space="0"/>
            </w:tcBorders>
            <w:vAlign w:val="center"/>
          </w:tcPr>
          <w:p>
            <w:pPr>
              <w:spacing w:line="360" w:lineRule="auto"/>
              <w:jc w:val="center"/>
              <w:textAlignment w:val="baseline"/>
              <w:rPr>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产品生产</w:t>
            </w:r>
          </w:p>
          <w:p>
            <w:pPr>
              <w:spacing w:line="360" w:lineRule="auto"/>
              <w:jc w:val="center"/>
              <w:textAlignment w:val="baseline"/>
              <w:rPr>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auto" w:sz="4" w:space="0"/>
              <w:left w:val="nil"/>
              <w:right w:val="single" w:color="auto" w:sz="4" w:space="0"/>
            </w:tcBorders>
            <w:vAlign w:val="center"/>
          </w:tcPr>
          <w:p>
            <w:pPr>
              <w:spacing w:line="360" w:lineRule="auto"/>
              <w:jc w:val="left"/>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生产企业、中央厨房或配送中心应取得食品安全法规定的食品生产许可证、食品经营许可证等相关证件。</w:t>
            </w:r>
          </w:p>
        </w:tc>
        <w:tc>
          <w:tcPr>
            <w:tcW w:w="91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140" w:type="dxa"/>
            <w:tcBorders>
              <w:top w:val="single" w:color="000000" w:sz="4" w:space="0"/>
              <w:left w:val="single" w:color="000000"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包装设计</w:t>
            </w:r>
          </w:p>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000000" w:sz="4" w:space="0"/>
              <w:left w:val="nil"/>
              <w:bottom w:val="single" w:color="auto" w:sz="4" w:space="0"/>
              <w:right w:val="single" w:color="auto" w:sz="4" w:space="0"/>
            </w:tcBorders>
            <w:vAlign w:val="center"/>
          </w:tcPr>
          <w:p>
            <w:pPr>
              <w:spacing w:line="360" w:lineRule="auto"/>
              <w:jc w:val="left"/>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包装设计产品包装材质、密封等符合相关国家标准，外包装上的用途文字一目了然。</w:t>
            </w:r>
          </w:p>
        </w:tc>
        <w:tc>
          <w:tcPr>
            <w:tcW w:w="914" w:type="dxa"/>
            <w:tcBorders>
              <w:top w:val="single" w:color="000000" w:sz="4" w:space="0"/>
              <w:left w:val="single" w:color="auto" w:sz="4" w:space="0"/>
              <w:bottom w:val="single" w:color="auto"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140" w:type="dxa"/>
            <w:tcBorders>
              <w:top w:val="single" w:color="000000" w:sz="4" w:space="0"/>
              <w:left w:val="single" w:color="000000"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复原操作</w:t>
            </w:r>
          </w:p>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（5分）</w:t>
            </w:r>
          </w:p>
        </w:tc>
        <w:tc>
          <w:tcPr>
            <w:tcW w:w="6374" w:type="dxa"/>
            <w:tcBorders>
              <w:top w:val="single" w:color="000000" w:sz="4" w:space="0"/>
              <w:left w:val="nil"/>
              <w:bottom w:val="single" w:color="auto" w:sz="4" w:space="0"/>
              <w:right w:val="single" w:color="auto" w:sz="4" w:space="0"/>
            </w:tcBorders>
            <w:vAlign w:val="center"/>
          </w:tcPr>
          <w:p>
            <w:pPr>
              <w:spacing w:line="360" w:lineRule="auto"/>
              <w:jc w:val="left"/>
              <w:textAlignment w:val="baseline"/>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项目申报书中的各项描述清晰准确，加工时间合格。</w:t>
            </w:r>
          </w:p>
        </w:tc>
        <w:tc>
          <w:tcPr>
            <w:tcW w:w="914" w:type="dxa"/>
            <w:tcBorders>
              <w:top w:val="single" w:color="000000" w:sz="4" w:space="0"/>
              <w:left w:val="single" w:color="auto" w:sz="4" w:space="0"/>
              <w:bottom w:val="single" w:color="auto"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140" w:type="dxa"/>
            <w:tcBorders>
              <w:top w:val="single" w:color="000000" w:sz="4" w:space="0"/>
              <w:left w:val="single" w:color="000000"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项目团队</w:t>
            </w:r>
          </w:p>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（5分）</w:t>
            </w:r>
          </w:p>
        </w:tc>
        <w:tc>
          <w:tcPr>
            <w:tcW w:w="6374" w:type="dxa"/>
            <w:tcBorders>
              <w:top w:val="single" w:color="000000" w:sz="4" w:space="0"/>
              <w:left w:val="nil"/>
              <w:bottom w:val="single" w:color="auto" w:sz="4" w:space="0"/>
              <w:right w:val="single" w:color="auto" w:sz="4" w:space="0"/>
            </w:tcBorders>
            <w:vAlign w:val="center"/>
          </w:tcPr>
          <w:p>
            <w:pPr>
              <w:spacing w:line="360" w:lineRule="auto"/>
              <w:jc w:val="left"/>
              <w:textAlignment w:val="baseline"/>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团队人员的组织合理、配置得当、分工明确。</w:t>
            </w:r>
          </w:p>
        </w:tc>
        <w:tc>
          <w:tcPr>
            <w:tcW w:w="914" w:type="dxa"/>
            <w:tcBorders>
              <w:top w:val="single" w:color="000000" w:sz="4" w:space="0"/>
              <w:left w:val="single" w:color="auto" w:sz="4" w:space="0"/>
              <w:bottom w:val="single" w:color="auto"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140" w:type="dxa"/>
            <w:tcBorders>
              <w:top w:val="single" w:color="000000" w:sz="4" w:space="0"/>
              <w:left w:val="single" w:color="000000"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影像材料</w:t>
            </w:r>
          </w:p>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（10分）</w:t>
            </w:r>
          </w:p>
        </w:tc>
        <w:tc>
          <w:tcPr>
            <w:tcW w:w="6374" w:type="dxa"/>
            <w:tcBorders>
              <w:top w:val="single" w:color="000000" w:sz="4" w:space="0"/>
              <w:left w:val="nil"/>
              <w:bottom w:val="single" w:color="auto" w:sz="4" w:space="0"/>
              <w:right w:val="single" w:color="auto" w:sz="4" w:space="0"/>
            </w:tcBorders>
            <w:vAlign w:val="center"/>
          </w:tcPr>
          <w:p>
            <w:pPr>
              <w:spacing w:line="360" w:lineRule="auto"/>
              <w:jc w:val="left"/>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图像视频清晰度、规格、容量、数量符合要求。</w:t>
            </w:r>
          </w:p>
        </w:tc>
        <w:tc>
          <w:tcPr>
            <w:tcW w:w="914" w:type="dxa"/>
            <w:tcBorders>
              <w:top w:val="single" w:color="000000" w:sz="4" w:space="0"/>
              <w:left w:val="single" w:color="auto" w:sz="4" w:space="0"/>
              <w:bottom w:val="single" w:color="auto" w:sz="4" w:space="0"/>
              <w:right w:val="single" w:color="000000" w:sz="4" w:space="0"/>
            </w:tcBorders>
            <w:vAlign w:val="center"/>
          </w:tcPr>
          <w:p>
            <w:pPr>
              <w:spacing w:line="360" w:lineRule="auto"/>
              <w:jc w:val="center"/>
              <w:textAlignment w:val="baseline"/>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tc>
      </w:tr>
    </w:tbl>
    <w:p>
      <w:pPr>
        <w:shd w:val="clear" w:color="auto" w:fill="FFFFFF"/>
        <w:spacing w:line="360" w:lineRule="auto"/>
        <w:jc w:val="center"/>
        <w:rPr>
          <w:rFonts w:hint="eastAsia" w:ascii="仿宋_GB2312" w:hAnsi="仿宋_GB2312" w:eastAsia="仿宋_GB2312" w:cs="仿宋_GB2312"/>
          <w:b w:val="0"/>
          <w:bCs w:val="0"/>
          <w:snapToGrid w:val="0"/>
          <w:color w:val="000000" w:themeColor="text1"/>
          <w:spacing w:val="-6"/>
          <w:kern w:val="0"/>
          <w:sz w:val="24"/>
          <w:szCs w:val="24"/>
          <w:u w:val="none"/>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川渝预制</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川</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菜创新创意大赛</w:t>
      </w: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产品成品评审标准</w:t>
      </w:r>
    </w:p>
    <w:tbl>
      <w:tblPr>
        <w:tblStyle w:val="3"/>
        <w:tblW w:w="8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5865"/>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46" w:type="dxa"/>
            <w:vAlign w:val="center"/>
          </w:tcPr>
          <w:p>
            <w:pPr>
              <w:spacing w:line="360" w:lineRule="auto"/>
              <w:contextualSpacing/>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项目</w:t>
            </w:r>
          </w:p>
        </w:tc>
        <w:tc>
          <w:tcPr>
            <w:tcW w:w="5865" w:type="dxa"/>
            <w:vAlign w:val="center"/>
          </w:tcPr>
          <w:p>
            <w:pPr>
              <w:spacing w:line="360" w:lineRule="auto"/>
              <w:contextualSpacing/>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内容及标准</w:t>
            </w:r>
          </w:p>
        </w:tc>
        <w:tc>
          <w:tcPr>
            <w:tcW w:w="1130" w:type="dxa"/>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446" w:type="dxa"/>
            <w:vMerge w:val="restart"/>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产品品评（30分）</w:t>
            </w:r>
          </w:p>
        </w:tc>
        <w:tc>
          <w:tcPr>
            <w:tcW w:w="5865" w:type="dxa"/>
            <w:vAlign w:val="center"/>
          </w:tcPr>
          <w:p>
            <w:pPr>
              <w:widowControl/>
              <w:spacing w:line="360" w:lineRule="auto"/>
              <w:contextualSpacing/>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味道</w:t>
            </w: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：主味突出、整体味道浓郁、调味适当，无邪味、糊味和腥腻味。</w:t>
            </w:r>
          </w:p>
        </w:tc>
        <w:tc>
          <w:tcPr>
            <w:tcW w:w="1130" w:type="dxa"/>
            <w:vMerge w:val="restart"/>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446" w:type="dxa"/>
            <w:vMerge w:val="continue"/>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p>
        </w:tc>
        <w:tc>
          <w:tcPr>
            <w:tcW w:w="5865" w:type="dxa"/>
            <w:tcBorders>
              <w:bottom w:val="single" w:color="auto" w:sz="4" w:space="0"/>
            </w:tcBorders>
            <w:vAlign w:val="center"/>
          </w:tcPr>
          <w:p>
            <w:pPr>
              <w:widowControl/>
              <w:spacing w:line="360" w:lineRule="auto"/>
              <w:contextualSpacing/>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口感</w:t>
            </w: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：符合产品应有的嫩、爽、糯、烂、酥、松、脆等特质，具有肉感、汁液感。</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446" w:type="dxa"/>
            <w:vMerge w:val="continue"/>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p>
        </w:tc>
        <w:tc>
          <w:tcPr>
            <w:tcW w:w="5865" w:type="dxa"/>
            <w:tcBorders>
              <w:top w:val="single" w:color="auto" w:sz="4" w:space="0"/>
              <w:bottom w:val="single" w:color="auto" w:sz="4" w:space="0"/>
            </w:tcBorders>
            <w:vAlign w:val="center"/>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u w:val="none"/>
                <w14:textFill>
                  <w14:solidFill>
                    <w14:schemeClr w14:val="tx1"/>
                  </w14:solidFill>
                </w14:textFill>
              </w:rPr>
              <w:t>色泽：</w:t>
            </w: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符合预制菜对应菜品特有的色泽。色调自然、美观大方。主料、辅料、调料等相互搭配协调。</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1446" w:type="dxa"/>
            <w:vMerge w:val="continue"/>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p>
        </w:tc>
        <w:tc>
          <w:tcPr>
            <w:tcW w:w="5865" w:type="dxa"/>
            <w:tcBorders>
              <w:top w:val="single" w:color="auto" w:sz="4" w:space="0"/>
              <w:bottom w:val="single" w:color="auto" w:sz="4" w:space="0"/>
            </w:tcBorders>
            <w:vAlign w:val="center"/>
          </w:tcPr>
          <w:p>
            <w:pPr>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香气：经过烹饪加工后挥发出应有自然香气，无异味。</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tcW w:w="1446" w:type="dxa"/>
            <w:vMerge w:val="continue"/>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p>
        </w:tc>
        <w:tc>
          <w:tcPr>
            <w:tcW w:w="5865" w:type="dxa"/>
            <w:tcBorders>
              <w:top w:val="single" w:color="auto" w:sz="4" w:space="0"/>
            </w:tcBorders>
            <w:vAlign w:val="center"/>
          </w:tcPr>
          <w:p>
            <w:pPr>
              <w:spacing w:line="360" w:lineRule="auto"/>
              <w:contextualSpacing/>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总体：菜品还原度、惊喜度。</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exact"/>
          <w:jc w:val="center"/>
        </w:trPr>
        <w:tc>
          <w:tcPr>
            <w:tcW w:w="1446" w:type="dxa"/>
            <w:vAlign w:val="center"/>
          </w:tcPr>
          <w:p>
            <w:pPr>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加工操作（10分）</w:t>
            </w:r>
          </w:p>
        </w:tc>
        <w:tc>
          <w:tcPr>
            <w:tcW w:w="5865" w:type="dxa"/>
            <w:vAlign w:val="center"/>
          </w:tcPr>
          <w:p>
            <w:pPr>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产品具备出品稳定和方便快捷的属性，在加工和操作的过程中符合食品卫生和安全的要求，产品加工到出品时间不超过15分钟。</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exact"/>
          <w:jc w:val="center"/>
        </w:trPr>
        <w:tc>
          <w:tcPr>
            <w:tcW w:w="1446" w:type="dxa"/>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项目特色</w:t>
            </w:r>
          </w:p>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（20分）</w:t>
            </w:r>
          </w:p>
        </w:tc>
        <w:tc>
          <w:tcPr>
            <w:tcW w:w="5865" w:type="dxa"/>
            <w:tcBorders>
              <w:top w:val="single" w:color="auto" w:sz="4" w:space="0"/>
              <w:bottom w:val="single" w:color="auto" w:sz="4" w:space="0"/>
            </w:tcBorders>
            <w:vAlign w:val="center"/>
          </w:tcPr>
          <w:p>
            <w:pPr>
              <w:autoSpaceDE w:val="0"/>
              <w:autoSpaceDN w:val="0"/>
              <w:adjustRightInd w:val="0"/>
              <w:spacing w:line="360" w:lineRule="auto"/>
              <w:jc w:val="left"/>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对产品的描述和优劣势描述清晰准确，产品设计合理，具有市场化潜力，符合应用场景目标群体推广和性价比要求。</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1446" w:type="dxa"/>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创新创意</w:t>
            </w:r>
          </w:p>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（30分）</w:t>
            </w:r>
          </w:p>
        </w:tc>
        <w:tc>
          <w:tcPr>
            <w:tcW w:w="5865" w:type="dxa"/>
            <w:tcBorders>
              <w:bottom w:val="single" w:color="auto" w:sz="4" w:space="0"/>
            </w:tcBorders>
            <w:vAlign w:val="center"/>
          </w:tcPr>
          <w:p>
            <w:pPr>
              <w:spacing w:line="360" w:lineRule="auto"/>
              <w:jc w:val="left"/>
              <w:textAlignment w:val="baseline"/>
              <w:rPr>
                <w:rStyle w:val="5"/>
                <w:rFonts w:hint="eastAsia" w:ascii="仿宋_GB2312" w:hAnsi="仿宋_GB2312" w:eastAsia="仿宋_GB2312" w:cs="仿宋_GB2312"/>
                <w:b w:val="0"/>
                <w:bCs w:val="0"/>
                <w:color w:val="000000" w:themeColor="text1"/>
                <w:sz w:val="24"/>
                <w:szCs w:val="24"/>
                <w:u w:val="none"/>
                <w:shd w:val="clear" w:color="auto" w:fill="FFFFFF"/>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主题突出，</w:t>
            </w:r>
            <w:r>
              <w:rPr>
                <w:rFonts w:hint="eastAsia" w:ascii="仿宋_GB2312" w:hAnsi="仿宋_GB2312" w:eastAsia="仿宋_GB2312" w:cs="仿宋_GB2312"/>
                <w:b w:val="0"/>
                <w:bCs w:val="0"/>
                <w:color w:val="000000" w:themeColor="text1"/>
                <w:sz w:val="24"/>
                <w:szCs w:val="24"/>
                <w:u w:val="none"/>
                <w:shd w:val="clear" w:color="auto" w:fill="FFFFFF"/>
                <w14:textFill>
                  <w14:solidFill>
                    <w14:schemeClr w14:val="tx1"/>
                  </w14:solidFill>
                </w14:textFill>
              </w:rPr>
              <w:t>具有原创性，</w:t>
            </w: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能体现加工工艺创新、实用技术创新、产品（技术）改良、应用性优化、创意等。</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exact"/>
          <w:jc w:val="center"/>
        </w:trPr>
        <w:tc>
          <w:tcPr>
            <w:tcW w:w="1446" w:type="dxa"/>
            <w:vAlign w:val="center"/>
          </w:tcPr>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整体表现</w:t>
            </w:r>
          </w:p>
          <w:p>
            <w:pPr>
              <w:spacing w:line="360" w:lineRule="auto"/>
              <w:contextualSpacing/>
              <w:jc w:val="center"/>
              <w:textAlignment w:val="baseline"/>
              <w:rPr>
                <w:rStyle w:val="5"/>
                <w:rFonts w:ascii="仿宋_GB2312" w:hAnsi="仿宋_GB2312" w:eastAsia="仿宋_GB2312" w:cs="仿宋_GB2312"/>
                <w:b w:val="0"/>
                <w:bCs w:val="0"/>
                <w:color w:val="000000" w:themeColor="text1"/>
                <w:sz w:val="24"/>
                <w:szCs w:val="24"/>
                <w:u w:val="none"/>
                <w14:textFill>
                  <w14:solidFill>
                    <w14:schemeClr w14:val="tx1"/>
                  </w14:solidFill>
                </w14:textFill>
              </w:rPr>
            </w:pPr>
            <w:r>
              <w:rPr>
                <w:rStyle w:val="5"/>
                <w:rFonts w:hint="eastAsia" w:ascii="仿宋_GB2312" w:hAnsi="仿宋_GB2312" w:eastAsia="仿宋_GB2312" w:cs="仿宋_GB2312"/>
                <w:b w:val="0"/>
                <w:bCs w:val="0"/>
                <w:color w:val="000000" w:themeColor="text1"/>
                <w:sz w:val="24"/>
                <w:szCs w:val="24"/>
                <w:u w:val="none"/>
                <w14:textFill>
                  <w14:solidFill>
                    <w14:schemeClr w14:val="tx1"/>
                  </w14:solidFill>
                </w14:textFill>
              </w:rPr>
              <w:t>（10分）</w:t>
            </w:r>
          </w:p>
        </w:tc>
        <w:tc>
          <w:tcPr>
            <w:tcW w:w="5865" w:type="dxa"/>
            <w:tcBorders>
              <w:bottom w:val="single" w:color="auto" w:sz="4" w:space="0"/>
            </w:tcBorders>
            <w:vAlign w:val="center"/>
          </w:tcPr>
          <w:p>
            <w:pPr>
              <w:spacing w:line="360" w:lineRule="auto"/>
              <w:contextualSpacing/>
              <w:jc w:val="left"/>
              <w:textAlignment w:val="baseline"/>
              <w:rPr>
                <w:rFonts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团队人员现场表现及答辩情况。</w:t>
            </w:r>
          </w:p>
        </w:tc>
        <w:tc>
          <w:tcPr>
            <w:tcW w:w="1130" w:type="dxa"/>
            <w:vMerge w:val="continue"/>
            <w:vAlign w:val="center"/>
          </w:tcPr>
          <w:p>
            <w:pPr>
              <w:spacing w:line="360" w:lineRule="auto"/>
              <w:contextualSpacing/>
              <w:textAlignment w:val="baseline"/>
              <w:rPr>
                <w:rStyle w:val="5"/>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r>
    </w:tbl>
    <w:p>
      <w:pPr>
        <w:tabs>
          <w:tab w:val="left" w:pos="8820"/>
        </w:tabs>
        <w:adjustRightInd w:val="0"/>
        <w:snapToGrid w:val="0"/>
        <w:spacing w:line="360" w:lineRule="auto"/>
        <w:ind w:right="23" w:rightChars="1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spacing w:line="360" w:lineRule="auto"/>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现场操作扣分标准</w:t>
      </w:r>
    </w:p>
    <w:tbl>
      <w:tblPr>
        <w:tblStyle w:val="6"/>
        <w:tblW w:w="8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698"/>
        <w:gridCol w:w="5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07"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序号</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违规或不规范内容</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相应扣分标准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1</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仪容仪表</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长头发未包进工作帽内，  散乱；指甲过长或涂带色指甲油；手上 佩戴戒指等首饰，每一项扣1分，最高扣5分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2</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着装</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工作衣、帽不整洁或破损；不穿戴工作衣、帽、 围裙；脚踝裸露 ；不穿厨师专用鞋，每一项扣1分，最高扣5分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3</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超时</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5分钟内，每分钟扣2分，最高扣10分；5分钟后终止考试操作，选手离场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4</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不关火</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无加热操作时不关火，每次扣1分，最高扣5分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5</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长流水</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无用水操作，水龙头长流水，每次扣1分，最高扣5分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6</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浪费原料</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①可回收利用的原材料扔入垃圾桶扣2分</w:t>
            </w: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②原料选用过剩，超过20%扣3分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7</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多做挑选</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每一件菜品多做挑选扣5分，最高扣15分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8</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失饪重做</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每一件菜品失败重做扣5分，最高扣15分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9</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不服从指挥</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不服从现场裁判员指挥每次扣5分，最高扣20分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10</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安全事故</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①不规范操作导致设备损坏、影响其他选手操作等行为，最高 扣10分</w:t>
            </w: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②因选手的责任造成火灾扣20分，终止考试，选手离场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11</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不卫生行为</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①个人不符合《食品安全法》的卫生行为，每次扣5分，最多扣 20分</w:t>
            </w: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②台面脏乱等操作不卫生行为扣5分</w:t>
            </w: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③赛毕不打扫卫生扣10分</w:t>
            </w: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④不按照卫生防疫有关要求的行为，每次扣5分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12</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垃圾分类不规范</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不按规定对垃圾进行分类，每次扣2分，最高扣5分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13</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餐具超标</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菜点餐具直径超过 60cm，冷菜总盘餐具直径或边长超过 60cm，每件扣 2 分，最高扣 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707" w:type="dxa"/>
            <w:vAlign w:val="top"/>
          </w:tcPr>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jc w:val="center"/>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14</w:t>
            </w:r>
          </w:p>
        </w:tc>
        <w:tc>
          <w:tcPr>
            <w:tcW w:w="169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p>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其他作弊行为</w:t>
            </w:r>
          </w:p>
        </w:tc>
        <w:tc>
          <w:tcPr>
            <w:tcW w:w="5938" w:type="dxa"/>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经现场裁判组长和裁判长认定为作弊行为(如操作过程中发现夹带原料和成品、偷换作品、破坏其他代表队选手作品等行为)，扣 20分，并终止操作，选手离场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8343" w:type="dxa"/>
            <w:gridSpan w:val="3"/>
            <w:vAlign w:val="top"/>
          </w:tcPr>
          <w:p>
            <w:pPr>
              <w:widowControl/>
              <w:spacing w:line="360" w:lineRule="auto"/>
              <w:contextualSpacing/>
              <w:rPr>
                <w:rFonts w:hint="eastAsia" w:ascii="仿宋_GB2312" w:hAnsi="仿宋_GB2312" w:eastAsia="仿宋_GB2312" w:cs="仿宋_GB2312"/>
                <w:b w:val="0"/>
                <w:b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none"/>
                <w14:textFill>
                  <w14:solidFill>
                    <w14:schemeClr w14:val="tx1"/>
                  </w14:solidFill>
                </w14:textFill>
              </w:rPr>
              <w:t>备注：累计扣分不超过 100 分</w:t>
            </w:r>
          </w:p>
        </w:tc>
      </w:tr>
    </w:tbl>
    <w:p>
      <w:pPr>
        <w:keepNext w:val="0"/>
        <w:keepLines w:val="0"/>
        <w:widowControl/>
        <w:suppressLineNumbers w:val="0"/>
        <w:spacing w:line="360" w:lineRule="auto"/>
        <w:jc w:val="both"/>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p>
    <w:p>
      <w:pPr>
        <w:keepNext w:val="0"/>
        <w:keepLines w:val="0"/>
        <w:widowControl/>
        <w:suppressLineNumbers w:val="0"/>
        <w:spacing w:line="360" w:lineRule="auto"/>
        <w:ind w:firstLine="640" w:firstLineChars="200"/>
        <w:jc w:val="both"/>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七、项目赛场提供设施、设备清单表</w:t>
      </w:r>
    </w:p>
    <w:p>
      <w:pPr>
        <w:spacing w:line="360" w:lineRule="auto"/>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特殊调料品自理</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w:t>
      </w:r>
    </w:p>
    <w:p>
      <w:pPr>
        <w:spacing w:line="360" w:lineRule="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bl>
      <w:tblPr>
        <w:tblStyle w:val="6"/>
        <w:tblW w:w="83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2443"/>
        <w:gridCol w:w="2166"/>
        <w:gridCol w:w="1250"/>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70" w:type="dxa"/>
            <w:vAlign w:val="top"/>
          </w:tcPr>
          <w:p>
            <w:pPr>
              <w:spacing w:before="119" w:line="360" w:lineRule="auto"/>
              <w:ind w:left="186"/>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0"/>
                <w:sz w:val="32"/>
                <w:szCs w:val="32"/>
                <w:u w:val="none"/>
                <w14:textFill>
                  <w14:solidFill>
                    <w14:schemeClr w14:val="tx1"/>
                  </w14:solidFill>
                </w14:textFill>
              </w:rPr>
              <w:t>序</w:t>
            </w:r>
            <w:r>
              <w:rPr>
                <w:rFonts w:hint="eastAsia" w:ascii="仿宋_GB2312" w:hAnsi="仿宋_GB2312" w:eastAsia="仿宋_GB2312" w:cs="仿宋_GB2312"/>
                <w:b w:val="0"/>
                <w:bCs w:val="0"/>
                <w:color w:val="000000" w:themeColor="text1"/>
                <w:spacing w:val="-8"/>
                <w:sz w:val="32"/>
                <w:szCs w:val="32"/>
                <w:u w:val="none"/>
                <w14:textFill>
                  <w14:solidFill>
                    <w14:schemeClr w14:val="tx1"/>
                  </w14:solidFill>
                </w14:textFill>
              </w:rPr>
              <w:t>号</w:t>
            </w:r>
          </w:p>
        </w:tc>
        <w:tc>
          <w:tcPr>
            <w:tcW w:w="2443" w:type="dxa"/>
            <w:vAlign w:val="top"/>
          </w:tcPr>
          <w:p>
            <w:pPr>
              <w:spacing w:before="118"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0"/>
                <w:sz w:val="32"/>
                <w:szCs w:val="32"/>
                <w:u w:val="none"/>
                <w14:textFill>
                  <w14:solidFill>
                    <w14:schemeClr w14:val="tx1"/>
                  </w14:solidFill>
                </w14:textFill>
              </w:rPr>
              <w:t>名</w:t>
            </w:r>
            <w:r>
              <w:rPr>
                <w:rFonts w:hint="eastAsia" w:ascii="仿宋_GB2312" w:hAnsi="仿宋_GB2312" w:eastAsia="仿宋_GB2312" w:cs="仿宋_GB2312"/>
                <w:b w:val="0"/>
                <w:bCs w:val="0"/>
                <w:color w:val="000000" w:themeColor="text1"/>
                <w:spacing w:val="-9"/>
                <w:sz w:val="32"/>
                <w:szCs w:val="32"/>
                <w:u w:val="none"/>
                <w14:textFill>
                  <w14:solidFill>
                    <w14:schemeClr w14:val="tx1"/>
                  </w14:solidFill>
                </w14:textFill>
              </w:rPr>
              <w:t>称</w:t>
            </w:r>
          </w:p>
        </w:tc>
        <w:tc>
          <w:tcPr>
            <w:tcW w:w="2166" w:type="dxa"/>
            <w:vAlign w:val="top"/>
          </w:tcPr>
          <w:p>
            <w:pPr>
              <w:spacing w:before="119" w:line="360" w:lineRule="auto"/>
              <w:ind w:left="15" w:leftChars="0" w:hanging="15" w:hangingChars="5"/>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8"/>
                <w:sz w:val="32"/>
                <w:szCs w:val="32"/>
                <w:u w:val="none"/>
                <w14:textFill>
                  <w14:solidFill>
                    <w14:schemeClr w14:val="tx1"/>
                  </w14:solidFill>
                </w14:textFill>
              </w:rPr>
              <w:t>规</w:t>
            </w:r>
            <w:r>
              <w:rPr>
                <w:rFonts w:hint="eastAsia" w:ascii="仿宋_GB2312" w:hAnsi="仿宋_GB2312" w:eastAsia="仿宋_GB2312" w:cs="仿宋_GB2312"/>
                <w:b w:val="0"/>
                <w:bCs w:val="0"/>
                <w:color w:val="000000" w:themeColor="text1"/>
                <w:spacing w:val="-5"/>
                <w:sz w:val="32"/>
                <w:szCs w:val="32"/>
                <w:u w:val="none"/>
                <w14:textFill>
                  <w14:solidFill>
                    <w14:schemeClr w14:val="tx1"/>
                  </w14:solidFill>
                </w14:textFill>
              </w:rPr>
              <w:t>格/型号</w:t>
            </w:r>
          </w:p>
        </w:tc>
        <w:tc>
          <w:tcPr>
            <w:tcW w:w="1250" w:type="dxa"/>
            <w:vAlign w:val="top"/>
          </w:tcPr>
          <w:p>
            <w:pPr>
              <w:spacing w:before="118" w:line="360" w:lineRule="auto"/>
              <w:ind w:left="221" w:leftChars="104" w:hanging="3"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3"/>
                <w:sz w:val="32"/>
                <w:szCs w:val="32"/>
                <w:u w:val="none"/>
                <w14:textFill>
                  <w14:solidFill>
                    <w14:schemeClr w14:val="tx1"/>
                  </w14:solidFill>
                </w14:textFill>
              </w:rPr>
              <w:t>单</w:t>
            </w:r>
            <w:r>
              <w:rPr>
                <w:rFonts w:hint="eastAsia" w:ascii="仿宋_GB2312" w:hAnsi="仿宋_GB2312" w:eastAsia="仿宋_GB2312" w:cs="仿宋_GB2312"/>
                <w:b w:val="0"/>
                <w:bCs w:val="0"/>
                <w:color w:val="000000" w:themeColor="text1"/>
                <w:spacing w:val="-11"/>
                <w:sz w:val="32"/>
                <w:szCs w:val="32"/>
                <w:u w:val="none"/>
                <w14:textFill>
                  <w14:solidFill>
                    <w14:schemeClr w14:val="tx1"/>
                  </w14:solidFill>
                </w14:textFill>
              </w:rPr>
              <w:t>位</w:t>
            </w:r>
          </w:p>
        </w:tc>
        <w:tc>
          <w:tcPr>
            <w:tcW w:w="1612" w:type="dxa"/>
            <w:vAlign w:val="top"/>
          </w:tcPr>
          <w:p>
            <w:pPr>
              <w:spacing w:before="118" w:line="360" w:lineRule="auto"/>
              <w:ind w:left="467"/>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9"/>
                <w:sz w:val="32"/>
                <w:szCs w:val="32"/>
                <w:u w:val="none"/>
                <w14:textFill>
                  <w14:solidFill>
                    <w14:schemeClr w14:val="tx1"/>
                  </w14:solidFill>
                </w14:textFill>
              </w:rPr>
              <w:t>数</w:t>
            </w:r>
            <w:r>
              <w:rPr>
                <w:rFonts w:hint="eastAsia" w:ascii="仿宋_GB2312" w:hAnsi="仿宋_GB2312" w:eastAsia="仿宋_GB2312" w:cs="仿宋_GB2312"/>
                <w:b w:val="0"/>
                <w:bCs w:val="0"/>
                <w:color w:val="000000" w:themeColor="text1"/>
                <w:spacing w:val="-8"/>
                <w:sz w:val="32"/>
                <w:szCs w:val="32"/>
                <w:u w:val="none"/>
                <w14:textFill>
                  <w14:solidFill>
                    <w14:schemeClr w14:val="tx1"/>
                  </w14:solidFill>
                </w14:textFill>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870" w:type="dxa"/>
            <w:vAlign w:val="top"/>
          </w:tcPr>
          <w:p>
            <w:pPr>
              <w:spacing w:before="234" w:line="360" w:lineRule="auto"/>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w:t>
            </w:r>
          </w:p>
        </w:tc>
        <w:tc>
          <w:tcPr>
            <w:tcW w:w="2443" w:type="dxa"/>
            <w:vAlign w:val="top"/>
          </w:tcPr>
          <w:p>
            <w:pPr>
              <w:spacing w:before="120"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不锈钢操作台</w:t>
            </w:r>
          </w:p>
        </w:tc>
        <w:tc>
          <w:tcPr>
            <w:tcW w:w="2166" w:type="dxa"/>
            <w:vAlign w:val="top"/>
          </w:tcPr>
          <w:p>
            <w:pPr>
              <w:spacing w:before="119" w:line="360" w:lineRule="auto"/>
              <w:ind w:left="15" w:leftChars="0" w:hanging="15" w:hangingChars="5"/>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pacing w:val="-4"/>
                <w:sz w:val="32"/>
                <w:szCs w:val="32"/>
                <w:u w:val="none"/>
                <w14:textFill>
                  <w14:solidFill>
                    <w14:schemeClr w14:val="tx1"/>
                  </w14:solidFill>
                </w14:textFill>
              </w:rPr>
              <w:t>1</w:t>
            </w:r>
            <w:r>
              <w:rPr>
                <w:rFonts w:hint="eastAsia" w:ascii="仿宋_GB2312" w:hAnsi="仿宋_GB2312" w:eastAsia="仿宋_GB2312" w:cs="仿宋_GB2312"/>
                <w:b w:val="0"/>
                <w:bCs w:val="0"/>
                <w:color w:val="000000" w:themeColor="text1"/>
                <w:spacing w:val="-3"/>
                <w:sz w:val="32"/>
                <w:szCs w:val="32"/>
                <w:u w:val="none"/>
                <w14:textFill>
                  <w14:solidFill>
                    <w14:schemeClr w14:val="tx1"/>
                  </w14:solidFill>
                </w14:textFill>
              </w:rPr>
              <w:t>.8 *80</w:t>
            </w:r>
            <w:r>
              <w:rPr>
                <w:rFonts w:hint="eastAsia" w:ascii="仿宋_GB2312" w:hAnsi="仿宋_GB2312" w:eastAsia="仿宋_GB2312" w:cs="仿宋_GB2312"/>
                <w:b w:val="0"/>
                <w:bCs w:val="0"/>
                <w:color w:val="000000" w:themeColor="text1"/>
                <w:spacing w:val="-3"/>
                <w:sz w:val="32"/>
                <w:szCs w:val="32"/>
                <w:u w:val="none"/>
                <w:lang w:val="en-US" w:eastAsia="zh-Hans"/>
                <w14:textFill>
                  <w14:solidFill>
                    <w14:schemeClr w14:val="tx1"/>
                  </w14:solidFill>
                </w14:textFill>
              </w:rPr>
              <w:t>cm</w:t>
            </w:r>
          </w:p>
        </w:tc>
        <w:tc>
          <w:tcPr>
            <w:tcW w:w="1250" w:type="dxa"/>
            <w:vAlign w:val="top"/>
          </w:tcPr>
          <w:p>
            <w:pPr>
              <w:spacing w:before="122"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台</w:t>
            </w:r>
          </w:p>
        </w:tc>
        <w:tc>
          <w:tcPr>
            <w:tcW w:w="1612" w:type="dxa"/>
            <w:vAlign w:val="top"/>
          </w:tcPr>
          <w:p>
            <w:pPr>
              <w:spacing w:before="234"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70" w:type="dxa"/>
            <w:vAlign w:val="top"/>
          </w:tcPr>
          <w:p>
            <w:pPr>
              <w:spacing w:before="236" w:line="360" w:lineRule="auto"/>
              <w:ind w:left="38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w:t>
            </w:r>
          </w:p>
        </w:tc>
        <w:tc>
          <w:tcPr>
            <w:tcW w:w="2443" w:type="dxa"/>
            <w:vAlign w:val="top"/>
          </w:tcPr>
          <w:p>
            <w:pPr>
              <w:spacing w:before="120"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商用电磁灶</w:t>
            </w:r>
          </w:p>
        </w:tc>
        <w:tc>
          <w:tcPr>
            <w:tcW w:w="2166" w:type="dxa"/>
            <w:vAlign w:val="top"/>
          </w:tcPr>
          <w:p>
            <w:pPr>
              <w:spacing w:before="118" w:line="360" w:lineRule="auto"/>
              <w:ind w:left="16" w:leftChars="0" w:hanging="16" w:hangingChars="5"/>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千瓦</w:t>
            </w:r>
          </w:p>
        </w:tc>
        <w:tc>
          <w:tcPr>
            <w:tcW w:w="1250" w:type="dxa"/>
            <w:vAlign w:val="top"/>
          </w:tcPr>
          <w:p>
            <w:pPr>
              <w:spacing w:before="119"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台</w:t>
            </w:r>
          </w:p>
        </w:tc>
        <w:tc>
          <w:tcPr>
            <w:tcW w:w="1612" w:type="dxa"/>
            <w:vAlign w:val="top"/>
          </w:tcPr>
          <w:p>
            <w:pPr>
              <w:spacing w:before="234" w:line="360" w:lineRule="auto"/>
              <w:ind w:left="700"/>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870" w:type="dxa"/>
            <w:vAlign w:val="top"/>
          </w:tcPr>
          <w:p>
            <w:pPr>
              <w:spacing w:before="234" w:line="360" w:lineRule="auto"/>
              <w:ind w:left="387"/>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w:t>
            </w:r>
          </w:p>
        </w:tc>
        <w:tc>
          <w:tcPr>
            <w:tcW w:w="2443" w:type="dxa"/>
            <w:vAlign w:val="top"/>
          </w:tcPr>
          <w:p>
            <w:pPr>
              <w:spacing w:before="118"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圆平盘</w:t>
            </w:r>
          </w:p>
        </w:tc>
        <w:tc>
          <w:tcPr>
            <w:tcW w:w="2166" w:type="dxa"/>
            <w:vAlign w:val="top"/>
          </w:tcPr>
          <w:p>
            <w:pPr>
              <w:spacing w:before="121" w:line="360" w:lineRule="auto"/>
              <w:ind w:left="16" w:leftChars="0" w:hanging="16" w:hangingChars="5"/>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16</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寸</w:t>
            </w:r>
          </w:p>
        </w:tc>
        <w:tc>
          <w:tcPr>
            <w:tcW w:w="1250" w:type="dxa"/>
            <w:vAlign w:val="top"/>
          </w:tcPr>
          <w:p>
            <w:pPr>
              <w:spacing w:before="123"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个</w:t>
            </w:r>
          </w:p>
        </w:tc>
        <w:tc>
          <w:tcPr>
            <w:tcW w:w="1612" w:type="dxa"/>
            <w:vAlign w:val="top"/>
          </w:tcPr>
          <w:p>
            <w:pPr>
              <w:spacing w:before="236"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70" w:type="dxa"/>
            <w:vAlign w:val="top"/>
          </w:tcPr>
          <w:p>
            <w:pPr>
              <w:spacing w:before="237" w:line="360" w:lineRule="auto"/>
              <w:ind w:left="37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4</w:t>
            </w:r>
          </w:p>
        </w:tc>
        <w:tc>
          <w:tcPr>
            <w:tcW w:w="2443" w:type="dxa"/>
            <w:vAlign w:val="top"/>
          </w:tcPr>
          <w:p>
            <w:pPr>
              <w:spacing w:before="118"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圆平盘</w:t>
            </w:r>
          </w:p>
        </w:tc>
        <w:tc>
          <w:tcPr>
            <w:tcW w:w="2166" w:type="dxa"/>
            <w:vAlign w:val="top"/>
          </w:tcPr>
          <w:p>
            <w:pPr>
              <w:spacing w:before="119" w:line="360" w:lineRule="auto"/>
              <w:ind w:left="16" w:leftChars="0" w:hanging="16" w:hangingChars="5"/>
              <w:jc w:val="center"/>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10寸</w:t>
            </w:r>
          </w:p>
        </w:tc>
        <w:tc>
          <w:tcPr>
            <w:tcW w:w="1250" w:type="dxa"/>
            <w:vAlign w:val="top"/>
          </w:tcPr>
          <w:p>
            <w:pPr>
              <w:spacing w:before="120"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个</w:t>
            </w:r>
          </w:p>
        </w:tc>
        <w:tc>
          <w:tcPr>
            <w:tcW w:w="1612" w:type="dxa"/>
            <w:vAlign w:val="top"/>
          </w:tcPr>
          <w:p>
            <w:pPr>
              <w:spacing w:before="236" w:line="360" w:lineRule="auto"/>
              <w:ind w:left="700"/>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70" w:type="dxa"/>
            <w:vAlign w:val="top"/>
          </w:tcPr>
          <w:p>
            <w:pPr>
              <w:spacing w:before="237" w:line="360" w:lineRule="auto"/>
              <w:ind w:left="373"/>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w:t>
            </w:r>
          </w:p>
        </w:tc>
        <w:tc>
          <w:tcPr>
            <w:tcW w:w="2443" w:type="dxa"/>
            <w:vAlign w:val="top"/>
          </w:tcPr>
          <w:p>
            <w:pPr>
              <w:spacing w:before="118"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不锈钢油缸</w:t>
            </w:r>
          </w:p>
        </w:tc>
        <w:tc>
          <w:tcPr>
            <w:tcW w:w="2166" w:type="dxa"/>
            <w:vAlign w:val="top"/>
          </w:tcPr>
          <w:p>
            <w:pPr>
              <w:spacing w:before="119" w:line="360" w:lineRule="auto"/>
              <w:ind w:left="843"/>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0"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个</w:t>
            </w:r>
          </w:p>
        </w:tc>
        <w:tc>
          <w:tcPr>
            <w:tcW w:w="1612" w:type="dxa"/>
            <w:vAlign w:val="top"/>
          </w:tcPr>
          <w:p>
            <w:pPr>
              <w:spacing w:before="236"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870" w:type="dxa"/>
            <w:vAlign w:val="top"/>
          </w:tcPr>
          <w:p>
            <w:pPr>
              <w:spacing w:before="240" w:line="360" w:lineRule="auto"/>
              <w:ind w:left="39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w:t>
            </w:r>
          </w:p>
        </w:tc>
        <w:tc>
          <w:tcPr>
            <w:tcW w:w="2443" w:type="dxa"/>
            <w:vAlign w:val="top"/>
          </w:tcPr>
          <w:p>
            <w:pPr>
              <w:spacing w:before="119"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不锈钢漏勺</w:t>
            </w:r>
          </w:p>
        </w:tc>
        <w:tc>
          <w:tcPr>
            <w:tcW w:w="2166" w:type="dxa"/>
            <w:vAlign w:val="top"/>
          </w:tcPr>
          <w:p>
            <w:pPr>
              <w:spacing w:before="122" w:line="360" w:lineRule="auto"/>
              <w:ind w:left="877"/>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2"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个</w:t>
            </w:r>
          </w:p>
        </w:tc>
        <w:tc>
          <w:tcPr>
            <w:tcW w:w="1612" w:type="dxa"/>
            <w:vAlign w:val="top"/>
          </w:tcPr>
          <w:p>
            <w:pPr>
              <w:spacing w:before="237"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70" w:type="dxa"/>
            <w:vAlign w:val="top"/>
          </w:tcPr>
          <w:p>
            <w:pPr>
              <w:spacing w:before="237" w:line="360" w:lineRule="auto"/>
              <w:ind w:left="384"/>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w:t>
            </w:r>
          </w:p>
        </w:tc>
        <w:tc>
          <w:tcPr>
            <w:tcW w:w="2443" w:type="dxa"/>
            <w:vAlign w:val="top"/>
          </w:tcPr>
          <w:p>
            <w:pPr>
              <w:spacing w:before="117"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微波炉</w:t>
            </w:r>
          </w:p>
        </w:tc>
        <w:tc>
          <w:tcPr>
            <w:tcW w:w="2166" w:type="dxa"/>
            <w:vAlign w:val="top"/>
          </w:tcPr>
          <w:p>
            <w:pPr>
              <w:spacing w:before="120" w:line="360" w:lineRule="auto"/>
              <w:ind w:left="877"/>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2"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台</w:t>
            </w:r>
          </w:p>
        </w:tc>
        <w:tc>
          <w:tcPr>
            <w:tcW w:w="1612" w:type="dxa"/>
            <w:vAlign w:val="top"/>
          </w:tcPr>
          <w:p>
            <w:pPr>
              <w:spacing w:before="237"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870" w:type="dxa"/>
            <w:vAlign w:val="top"/>
          </w:tcPr>
          <w:p>
            <w:pPr>
              <w:spacing w:before="240"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7</w:t>
            </w:r>
          </w:p>
        </w:tc>
        <w:tc>
          <w:tcPr>
            <w:tcW w:w="2443" w:type="dxa"/>
            <w:vAlign w:val="top"/>
          </w:tcPr>
          <w:p>
            <w:pPr>
              <w:spacing w:before="123"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炒锅</w:t>
            </w:r>
          </w:p>
        </w:tc>
        <w:tc>
          <w:tcPr>
            <w:tcW w:w="2166" w:type="dxa"/>
            <w:vAlign w:val="top"/>
          </w:tcPr>
          <w:p>
            <w:pPr>
              <w:spacing w:before="121" w:line="360" w:lineRule="auto"/>
              <w:ind w:firstLine="0"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电磁炉匹配</w:t>
            </w:r>
          </w:p>
        </w:tc>
        <w:tc>
          <w:tcPr>
            <w:tcW w:w="1250" w:type="dxa"/>
            <w:vAlign w:val="top"/>
          </w:tcPr>
          <w:p>
            <w:pPr>
              <w:spacing w:before="123"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口</w:t>
            </w:r>
          </w:p>
        </w:tc>
        <w:tc>
          <w:tcPr>
            <w:tcW w:w="1612" w:type="dxa"/>
            <w:vAlign w:val="top"/>
          </w:tcPr>
          <w:p>
            <w:pPr>
              <w:spacing w:before="237"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70" w:type="dxa"/>
            <w:vAlign w:val="top"/>
          </w:tcPr>
          <w:p>
            <w:pPr>
              <w:spacing w:before="239"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8</w:t>
            </w:r>
          </w:p>
        </w:tc>
        <w:tc>
          <w:tcPr>
            <w:tcW w:w="2443" w:type="dxa"/>
            <w:vAlign w:val="top"/>
          </w:tcPr>
          <w:p>
            <w:pPr>
              <w:spacing w:before="115"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锅刷</w:t>
            </w:r>
          </w:p>
        </w:tc>
        <w:tc>
          <w:tcPr>
            <w:tcW w:w="2166" w:type="dxa"/>
            <w:vAlign w:val="top"/>
          </w:tcPr>
          <w:p>
            <w:pPr>
              <w:spacing w:before="119"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竹</w:t>
            </w:r>
          </w:p>
        </w:tc>
        <w:tc>
          <w:tcPr>
            <w:tcW w:w="1250" w:type="dxa"/>
            <w:vAlign w:val="top"/>
          </w:tcPr>
          <w:p>
            <w:pPr>
              <w:spacing w:before="120"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把</w:t>
            </w:r>
          </w:p>
        </w:tc>
        <w:tc>
          <w:tcPr>
            <w:tcW w:w="1612" w:type="dxa"/>
            <w:vAlign w:val="top"/>
          </w:tcPr>
          <w:p>
            <w:pPr>
              <w:spacing w:before="237"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870" w:type="dxa"/>
            <w:vAlign w:val="top"/>
          </w:tcPr>
          <w:p>
            <w:pPr>
              <w:spacing w:before="240"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9</w:t>
            </w:r>
          </w:p>
        </w:tc>
        <w:tc>
          <w:tcPr>
            <w:tcW w:w="2443" w:type="dxa"/>
            <w:vAlign w:val="top"/>
          </w:tcPr>
          <w:p>
            <w:pPr>
              <w:spacing w:before="121"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菜板</w:t>
            </w:r>
          </w:p>
        </w:tc>
        <w:tc>
          <w:tcPr>
            <w:tcW w:w="2166" w:type="dxa"/>
            <w:vAlign w:val="top"/>
          </w:tcPr>
          <w:p>
            <w:pPr>
              <w:spacing w:before="122"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白色</w:t>
            </w:r>
          </w:p>
        </w:tc>
        <w:tc>
          <w:tcPr>
            <w:tcW w:w="1250" w:type="dxa"/>
            <w:vAlign w:val="top"/>
          </w:tcPr>
          <w:p>
            <w:pPr>
              <w:spacing w:before="123"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个</w:t>
            </w:r>
          </w:p>
        </w:tc>
        <w:tc>
          <w:tcPr>
            <w:tcW w:w="1612" w:type="dxa"/>
            <w:vAlign w:val="top"/>
          </w:tcPr>
          <w:p>
            <w:pPr>
              <w:spacing w:before="239"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w:t>
            </w:r>
            <w:r>
              <w:rPr>
                <w:rFonts w:hint="eastAsia" w:ascii="仿宋_GB2312" w:hAnsi="仿宋_GB2312" w:eastAsia="仿宋_GB2312" w:cs="仿宋_GB2312"/>
                <w:b w:val="0"/>
                <w:bCs w:val="0"/>
                <w:color w:val="000000" w:themeColor="text1"/>
                <w:spacing w:val="-15"/>
                <w:sz w:val="32"/>
                <w:szCs w:val="32"/>
                <w:u w:val="none"/>
                <w14:textFill>
                  <w14:solidFill>
                    <w14:schemeClr w14:val="tx1"/>
                  </w14:solidFill>
                </w14:textFill>
              </w:rPr>
              <w:t>0</w:t>
            </w:r>
          </w:p>
        </w:tc>
        <w:tc>
          <w:tcPr>
            <w:tcW w:w="2443" w:type="dxa"/>
            <w:vAlign w:val="top"/>
          </w:tcPr>
          <w:p>
            <w:pPr>
              <w:spacing w:before="122"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毛巾</w:t>
            </w:r>
          </w:p>
        </w:tc>
        <w:tc>
          <w:tcPr>
            <w:tcW w:w="2166" w:type="dxa"/>
            <w:vAlign w:val="top"/>
          </w:tcPr>
          <w:p>
            <w:pPr>
              <w:spacing w:before="120"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白色</w:t>
            </w:r>
          </w:p>
        </w:tc>
        <w:tc>
          <w:tcPr>
            <w:tcW w:w="1250" w:type="dxa"/>
            <w:vAlign w:val="top"/>
          </w:tcPr>
          <w:p>
            <w:pPr>
              <w:spacing w:before="122"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条</w:t>
            </w:r>
          </w:p>
        </w:tc>
        <w:tc>
          <w:tcPr>
            <w:tcW w:w="1612" w:type="dxa"/>
            <w:vAlign w:val="top"/>
          </w:tcPr>
          <w:p>
            <w:pPr>
              <w:spacing w:before="238" w:line="360" w:lineRule="auto"/>
              <w:ind w:left="7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w:t>
            </w:r>
            <w:r>
              <w:rPr>
                <w:rFonts w:hint="eastAsia" w:ascii="仿宋_GB2312" w:hAnsi="仿宋_GB2312" w:eastAsia="仿宋_GB2312" w:cs="仿宋_GB2312"/>
                <w:b w:val="0"/>
                <w:bCs w:val="0"/>
                <w:color w:val="000000" w:themeColor="text1"/>
                <w:spacing w:val="-15"/>
                <w:sz w:val="32"/>
                <w:szCs w:val="32"/>
                <w:u w:val="none"/>
                <w14:textFill>
                  <w14:solidFill>
                    <w14:schemeClr w14:val="tx1"/>
                  </w14:solidFill>
                </w14:textFill>
              </w:rPr>
              <w:t>1</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不锈钢码斗</w:t>
            </w:r>
          </w:p>
        </w:tc>
        <w:tc>
          <w:tcPr>
            <w:tcW w:w="2166" w:type="dxa"/>
            <w:vAlign w:val="top"/>
          </w:tcPr>
          <w:p>
            <w:pPr>
              <w:spacing w:before="126"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个</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12</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调料缸</w:t>
            </w:r>
          </w:p>
        </w:tc>
        <w:tc>
          <w:tcPr>
            <w:tcW w:w="2166" w:type="dxa"/>
            <w:vAlign w:val="top"/>
          </w:tcPr>
          <w:p>
            <w:pPr>
              <w:spacing w:before="126"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个</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13</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食用油</w:t>
            </w:r>
          </w:p>
        </w:tc>
        <w:tc>
          <w:tcPr>
            <w:tcW w:w="2166" w:type="dxa"/>
            <w:vAlign w:val="top"/>
          </w:tcPr>
          <w:p>
            <w:pPr>
              <w:spacing w:before="126" w:line="360" w:lineRule="auto"/>
              <w:ind w:left="0" w:leftChars="0" w:firstLine="0" w:firstLineChars="0"/>
              <w:jc w:val="cente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500</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ml</w:t>
            </w: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桶</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14</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盐</w:t>
            </w:r>
          </w:p>
        </w:tc>
        <w:tc>
          <w:tcPr>
            <w:tcW w:w="2166" w:type="dxa"/>
            <w:vAlign w:val="top"/>
          </w:tcPr>
          <w:p>
            <w:pPr>
              <w:spacing w:before="126" w:line="360" w:lineRule="auto"/>
              <w:ind w:left="464"/>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袋</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15</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酱油</w:t>
            </w:r>
          </w:p>
        </w:tc>
        <w:tc>
          <w:tcPr>
            <w:tcW w:w="2166" w:type="dxa"/>
            <w:vAlign w:val="top"/>
          </w:tcPr>
          <w:p>
            <w:pPr>
              <w:spacing w:before="126" w:line="360" w:lineRule="auto"/>
              <w:ind w:left="464"/>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瓶</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16</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醋</w:t>
            </w:r>
          </w:p>
        </w:tc>
        <w:tc>
          <w:tcPr>
            <w:tcW w:w="2166" w:type="dxa"/>
            <w:vAlign w:val="top"/>
          </w:tcPr>
          <w:p>
            <w:pPr>
              <w:spacing w:before="126" w:line="360" w:lineRule="auto"/>
              <w:ind w:left="464"/>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瓶</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17</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生粉</w:t>
            </w:r>
          </w:p>
        </w:tc>
        <w:tc>
          <w:tcPr>
            <w:tcW w:w="2166" w:type="dxa"/>
            <w:vAlign w:val="top"/>
          </w:tcPr>
          <w:p>
            <w:pPr>
              <w:spacing w:before="126" w:line="360" w:lineRule="auto"/>
              <w:ind w:left="464"/>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袋</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500</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g</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0" w:type="dxa"/>
            <w:vAlign w:val="top"/>
          </w:tcPr>
          <w:p>
            <w:pPr>
              <w:spacing w:before="238" w:line="360" w:lineRule="auto"/>
              <w:ind w:left="0" w:leftChars="0" w:firstLine="0" w:firstLineChars="0"/>
              <w:jc w:val="cente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pacing w:val="-16"/>
                <w:sz w:val="32"/>
                <w:szCs w:val="32"/>
                <w:u w:val="none"/>
                <w14:textFill>
                  <w14:solidFill>
                    <w14:schemeClr w14:val="tx1"/>
                  </w14:solidFill>
                </w14:textFill>
              </w:rPr>
              <w:t>18</w:t>
            </w:r>
          </w:p>
        </w:tc>
        <w:tc>
          <w:tcPr>
            <w:tcW w:w="2443" w:type="dxa"/>
            <w:vAlign w:val="top"/>
          </w:tcPr>
          <w:p>
            <w:pPr>
              <w:spacing w:before="124" w:line="360" w:lineRule="auto"/>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郫县豆瓣</w:t>
            </w:r>
          </w:p>
        </w:tc>
        <w:tc>
          <w:tcPr>
            <w:tcW w:w="2166" w:type="dxa"/>
            <w:vAlign w:val="top"/>
          </w:tcPr>
          <w:p>
            <w:pPr>
              <w:spacing w:before="126" w:line="360" w:lineRule="auto"/>
              <w:ind w:left="464"/>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tc>
        <w:tc>
          <w:tcPr>
            <w:tcW w:w="1250" w:type="dxa"/>
            <w:vAlign w:val="top"/>
          </w:tcPr>
          <w:p>
            <w:pPr>
              <w:spacing w:before="125" w:line="360" w:lineRule="auto"/>
              <w:ind w:left="-3" w:leftChars="0" w:hanging="3" w:firstLineChars="0"/>
              <w:jc w:val="cente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袋</w:t>
            </w:r>
            <w:r>
              <w:rPr>
                <w:rFonts w:hint="eastAsia" w:ascii="仿宋_GB2312" w:hAnsi="仿宋_GB2312" w:eastAsia="仿宋_GB2312" w:cs="仿宋_GB2312"/>
                <w:b w:val="0"/>
                <w:bCs w:val="0"/>
                <w:color w:val="000000" w:themeColor="text1"/>
                <w:sz w:val="32"/>
                <w:szCs w:val="32"/>
                <w:u w:val="none"/>
                <w:lang w:eastAsia="zh-Hans"/>
                <w14:textFill>
                  <w14:solidFill>
                    <w14:schemeClr w14:val="tx1"/>
                  </w14:solidFill>
                </w14:textFill>
              </w:rPr>
              <w:t>500</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g</w:t>
            </w:r>
          </w:p>
        </w:tc>
        <w:tc>
          <w:tcPr>
            <w:tcW w:w="1612" w:type="dxa"/>
            <w:vAlign w:val="top"/>
          </w:tcPr>
          <w:p>
            <w:pPr>
              <w:spacing w:before="238" w:line="360" w:lineRule="auto"/>
              <w:ind w:left="681"/>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10</w:t>
            </w:r>
          </w:p>
        </w:tc>
      </w:tr>
    </w:tbl>
    <w:p>
      <w:pPr>
        <w:widowControl/>
        <w:spacing w:line="360" w:lineRule="auto"/>
        <w:contextualSpacing/>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2"/>
        <w:rPr>
          <w:rFonts w:hint="eastAsia"/>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26863B87"/>
    <w:rsid w:val="0DEC79BE"/>
    <w:rsid w:val="1F5844BB"/>
    <w:rsid w:val="26863B87"/>
    <w:rsid w:val="49AF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3920" w:leftChars="1400"/>
      <w:jc w:val="left"/>
    </w:pPr>
  </w:style>
  <w:style w:type="character" w:customStyle="1" w:styleId="5">
    <w:name w:val="15"/>
    <w:basedOn w:val="4"/>
    <w:qFormat/>
    <w:uiPriority w:val="0"/>
    <w:rPr>
      <w:rFonts w:hint="default" w:ascii="Times New Roman" w:hAnsi="Times New Roman" w:eastAsia="宋体" w:cs="Times New Roman"/>
      <w:kern w:val="2"/>
      <w:sz w:val="21"/>
      <w:szCs w:val="21"/>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2023-08-11T05:45:00Z</dcterms:created>
  <dc:creator>猫罗</dc:creator>
  <cp:lastModifiedBy>猫罗</cp:lastModifiedBy>
  <dcterms:modified xsi:type="dcterms:W3CDTF">2023-08-11T06:42:16Z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4B0D532FD1DB4605B9ECFE29FB744B09_11</vt:lpwstr>
  </property>
</Properties>
</file>